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75" w:rsidRPr="00920129" w:rsidRDefault="00EA7875" w:rsidP="00EA7875">
      <w:pPr>
        <w:spacing w:line="32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 w:rsidRPr="00920129">
        <w:rPr>
          <w:rFonts w:ascii="標楷體" w:eastAsia="標楷體" w:hAnsi="標楷體"/>
          <w:b/>
          <w:sz w:val="28"/>
          <w:szCs w:val="32"/>
        </w:rPr>
        <w:t>基隆市</w:t>
      </w:r>
      <w:r w:rsidRPr="00920129">
        <w:rPr>
          <w:rFonts w:ascii="標楷體" w:eastAsia="標楷體" w:hAnsi="標楷體" w:hint="eastAsia"/>
          <w:b/>
          <w:sz w:val="28"/>
          <w:szCs w:val="32"/>
        </w:rPr>
        <w:t>特殊需求學生期中轉</w:t>
      </w:r>
      <w:proofErr w:type="gramStart"/>
      <w:r w:rsidRPr="00920129">
        <w:rPr>
          <w:rFonts w:ascii="標楷體" w:eastAsia="標楷體" w:hAnsi="標楷體" w:hint="eastAsia"/>
          <w:b/>
          <w:sz w:val="28"/>
          <w:szCs w:val="32"/>
        </w:rPr>
        <w:t>介</w:t>
      </w:r>
      <w:proofErr w:type="gramEnd"/>
      <w:r w:rsidRPr="00920129">
        <w:rPr>
          <w:rFonts w:ascii="標楷體" w:eastAsia="標楷體" w:hAnsi="標楷體" w:hint="eastAsia"/>
          <w:b/>
          <w:sz w:val="28"/>
          <w:szCs w:val="32"/>
        </w:rPr>
        <w:t>轉銜鑑定安置</w:t>
      </w:r>
      <w:r>
        <w:rPr>
          <w:rFonts w:ascii="標楷體" w:eastAsia="標楷體" w:hAnsi="標楷體" w:hint="eastAsia"/>
          <w:b/>
          <w:sz w:val="28"/>
          <w:szCs w:val="32"/>
        </w:rPr>
        <w:t>【</w:t>
      </w:r>
      <w:r w:rsidRPr="00F13498">
        <w:rPr>
          <w:rFonts w:ascii="標楷體" w:eastAsia="標楷體" w:hAnsi="標楷體" w:hint="eastAsia"/>
          <w:b/>
          <w:sz w:val="32"/>
        </w:rPr>
        <w:t>心評教師晤談評估表</w:t>
      </w:r>
      <w:r>
        <w:rPr>
          <w:rFonts w:ascii="標楷體" w:eastAsia="標楷體" w:hAnsi="標楷體" w:hint="eastAsia"/>
          <w:b/>
          <w:sz w:val="32"/>
        </w:rPr>
        <w:t>】</w:t>
      </w:r>
    </w:p>
    <w:p w:rsidR="00EA7875" w:rsidRPr="00F4751A" w:rsidRDefault="00EA7875" w:rsidP="00EA7875">
      <w:pPr>
        <w:wordWrap w:val="0"/>
        <w:ind w:right="118"/>
        <w:jc w:val="right"/>
        <w:rPr>
          <w:rFonts w:ascii="標楷體" w:eastAsia="標楷體" w:hAnsi="標楷體"/>
          <w:sz w:val="28"/>
          <w:u w:val="single"/>
        </w:rPr>
      </w:pPr>
      <w:r w:rsidRPr="0046236A">
        <w:rPr>
          <w:rFonts w:ascii="標楷體" w:eastAsia="標楷體" w:hAnsi="標楷體" w:hint="eastAsia"/>
          <w:sz w:val="28"/>
        </w:rPr>
        <w:t>填表日期:</w:t>
      </w:r>
      <w:r w:rsidRPr="0046236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46236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學生姓名:</w:t>
      </w:r>
      <w:r w:rsidRPr="0046236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46236A">
        <w:rPr>
          <w:rFonts w:ascii="標楷體" w:eastAsia="標楷體" w:hAnsi="標楷體" w:hint="eastAsia"/>
          <w:sz w:val="28"/>
        </w:rPr>
        <w:t>填表老師:</w:t>
      </w:r>
      <w:r w:rsidRPr="00F4751A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4751A">
        <w:rPr>
          <w:rFonts w:ascii="標楷體" w:eastAsia="標楷體" w:hAnsi="標楷體" w:hint="eastAsia"/>
          <w:sz w:val="28"/>
          <w:u w:val="single"/>
        </w:rPr>
        <w:t xml:space="preserve">    </w:t>
      </w:r>
    </w:p>
    <w:tbl>
      <w:tblPr>
        <w:tblpPr w:leftFromText="180" w:rightFromText="180" w:vertAnchor="text" w:horzAnchor="margin" w:tblpY="207"/>
        <w:tblOverlap w:val="never"/>
        <w:tblW w:w="107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71"/>
        <w:gridCol w:w="8475"/>
      </w:tblGrid>
      <w:tr w:rsidR="00EA7875" w:rsidRPr="0029106B" w:rsidTr="00AF1402">
        <w:trPr>
          <w:cantSplit/>
          <w:trHeight w:val="800"/>
        </w:trPr>
        <w:tc>
          <w:tcPr>
            <w:tcW w:w="425" w:type="dxa"/>
            <w:vMerge w:val="restart"/>
            <w:textDirection w:val="tbRlV"/>
          </w:tcPr>
          <w:p w:rsidR="00EA7875" w:rsidRDefault="00EA7875" w:rsidP="00AF1402">
            <w:pPr>
              <w:pStyle w:val="a3"/>
              <w:spacing w:after="0" w:line="400" w:lineRule="exact"/>
              <w:ind w:left="113" w:right="113"/>
              <w:jc w:val="center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與普通班老師晤談</w:t>
            </w: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lang w:val="en-US" w:eastAsia="zh-TW"/>
              </w:rPr>
              <w:t>一</w:t>
            </w:r>
            <w:proofErr w:type="gramEnd"/>
            <w:r>
              <w:rPr>
                <w:rFonts w:ascii="標楷體" w:eastAsia="標楷體" w:cs="標楷體" w:hint="eastAsia"/>
                <w:lang w:val="en-US" w:eastAsia="zh-TW"/>
              </w:rPr>
              <w:t>)健康狀況</w:t>
            </w:r>
          </w:p>
        </w:tc>
        <w:tc>
          <w:tcPr>
            <w:tcW w:w="8475" w:type="dxa"/>
            <w:shd w:val="clear" w:color="auto" w:fill="auto"/>
          </w:tcPr>
          <w:p w:rsidR="00EA7875" w:rsidRPr="002D5BDD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 xml:space="preserve">(身體狀況是否時常就醫，和同年齡相較是否有異狀) 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(二)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溝通能力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(聽覺理解、口語表達、社會溝通、動作表達、文字表達)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(三)認知能力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(注意、模仿、記憶、理解、推理)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(四)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學業表現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(拼音、識字、閱讀理解、寫字、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造詞造句、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作文、數學概念、計算、應用題解題)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(五)</w:t>
            </w:r>
            <w:r w:rsidRPr="009A332F">
              <w:rPr>
                <w:rFonts w:ascii="標楷體" w:eastAsia="標楷體" w:cs="標楷體" w:hint="eastAsia"/>
                <w:lang w:val="en-US" w:eastAsia="zh-TW"/>
              </w:rPr>
              <w:t>生理感官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(視覺、聽覺、嗅味覺、觸痛覺、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動覺、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平衡覺等)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(六)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生活自理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(飲食、如廁、穿著、</w:t>
            </w:r>
            <w:r>
              <w:rPr>
                <w:rFonts w:ascii="標楷體" w:eastAsia="標楷體" w:hint="eastAsia"/>
                <w:color w:val="808080" w:themeColor="background1" w:themeShade="80"/>
              </w:rPr>
              <w:t>洗手、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漱洗與衛生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、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整潔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(七)知覺動作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大肢體動作、小肌肉動作、手眼協調、體能、平衡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(八)社會情緒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(自我概念、人際互動、環境適應、情緒表達、衝動控制、挫折容忍)</w:t>
            </w:r>
          </w:p>
        </w:tc>
      </w:tr>
      <w:tr w:rsidR="00EA7875" w:rsidRPr="0029106B" w:rsidTr="00AF1402">
        <w:trPr>
          <w:cantSplit/>
          <w:trHeight w:val="791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(十)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其他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>(其他補充資料)</w:t>
            </w:r>
          </w:p>
        </w:tc>
      </w:tr>
      <w:tr w:rsidR="00EA7875" w:rsidRPr="0029106B" w:rsidTr="00AF1402">
        <w:trPr>
          <w:cantSplit/>
          <w:trHeight w:val="80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tbRlV"/>
          </w:tcPr>
          <w:p w:rsidR="00EA7875" w:rsidRDefault="00EA7875" w:rsidP="00AF1402">
            <w:pPr>
              <w:pStyle w:val="a3"/>
              <w:spacing w:after="0" w:line="400" w:lineRule="exact"/>
              <w:ind w:left="113" w:right="113"/>
              <w:jc w:val="center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與家長晤談</w:t>
            </w: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lang w:val="en-US" w:eastAsia="zh-TW"/>
              </w:rPr>
              <w:t>一</w:t>
            </w:r>
            <w:proofErr w:type="gramEnd"/>
            <w:r>
              <w:rPr>
                <w:rFonts w:ascii="標楷體" w:eastAsia="標楷體" w:cs="標楷體" w:hint="eastAsia"/>
                <w:lang w:val="en-US" w:eastAsia="zh-TW"/>
              </w:rPr>
              <w:t>)健康狀況</w:t>
            </w:r>
          </w:p>
        </w:tc>
        <w:tc>
          <w:tcPr>
            <w:tcW w:w="8475" w:type="dxa"/>
            <w:tcBorders>
              <w:top w:val="single" w:sz="18" w:space="0" w:color="auto"/>
            </w:tcBorders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>(身體狀況是否時常就醫，和同年齡相較是否有異狀)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(二)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溝通能力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(聽覺理解、口語表達、社會溝通、動作表達、文字表達)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(三)</w:t>
            </w:r>
            <w:r w:rsidRPr="009A332F">
              <w:rPr>
                <w:rFonts w:ascii="標楷體" w:eastAsia="標楷體" w:cs="標楷體" w:hint="eastAsia"/>
              </w:rPr>
              <w:t>生理感官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(視覺、聽覺、嗅味覺、觸痛覺、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動覺、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平衡覺等)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(四)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生活自理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(飲食、如廁、穿著、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漱洗與衛生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、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整潔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(五)社會情緒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(自我概念、人際互動、環境適應、情緒表達、衝動控制、挫折容忍)</w:t>
            </w:r>
          </w:p>
        </w:tc>
      </w:tr>
      <w:tr w:rsidR="00EA7875" w:rsidRPr="004D6DF0" w:rsidTr="00AF1402">
        <w:trPr>
          <w:cantSplit/>
          <w:trHeight w:val="687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(六)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其他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>(其他補充資料)</w:t>
            </w:r>
          </w:p>
        </w:tc>
      </w:tr>
    </w:tbl>
    <w:p w:rsidR="00EA7875" w:rsidRPr="0046236A" w:rsidRDefault="00EA7875" w:rsidP="00EA7875">
      <w:pPr>
        <w:rPr>
          <w:sz w:val="36"/>
        </w:rPr>
      </w:pPr>
    </w:p>
    <w:p w:rsidR="008B2395" w:rsidRPr="00EA7875" w:rsidRDefault="008B2395" w:rsidP="00EA7875">
      <w:pPr>
        <w:widowControl/>
        <w:rPr>
          <w:rFonts w:ascii="標楷體" w:eastAsia="標楷體" w:hAnsi="標楷體"/>
          <w:b/>
          <w:sz w:val="44"/>
        </w:rPr>
      </w:pPr>
    </w:p>
    <w:sectPr w:rsidR="008B2395" w:rsidRPr="00EA7875" w:rsidSect="00EA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75"/>
    <w:rsid w:val="002F33F6"/>
    <w:rsid w:val="008B2395"/>
    <w:rsid w:val="00E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87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EA7875"/>
    <w:rPr>
      <w:rFonts w:ascii="Times New Roman" w:eastAsia="新細明體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87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EA7875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2016-08-24T05:29:00Z</dcterms:created>
  <dcterms:modified xsi:type="dcterms:W3CDTF">2016-08-24T05:29:00Z</dcterms:modified>
</cp:coreProperties>
</file>