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86" w:rsidRPr="008F52F8" w:rsidRDefault="005B3C86" w:rsidP="005B3C86">
      <w:pPr>
        <w:jc w:val="center"/>
        <w:rPr>
          <w:rFonts w:ascii="標楷體" w:eastAsia="標楷體" w:hAnsi="標楷體"/>
          <w:b/>
          <w:kern w:val="0"/>
          <w:sz w:val="32"/>
        </w:rPr>
      </w:pPr>
      <w:r w:rsidRPr="008F52F8">
        <w:rPr>
          <w:rFonts w:ascii="標楷體" w:eastAsia="標楷體" w:hAnsi="標楷體" w:hint="eastAsia"/>
          <w:b/>
          <w:sz w:val="32"/>
          <w:szCs w:val="32"/>
        </w:rPr>
        <w:t>基隆市</w:t>
      </w:r>
      <w:r w:rsidRPr="008F52F8">
        <w:rPr>
          <w:rFonts w:ascii="標楷體" w:eastAsia="標楷體" w:hAnsi="標楷體" w:hint="eastAsia"/>
          <w:b/>
          <w:sz w:val="32"/>
        </w:rPr>
        <w:t>自閉症兒童</w:t>
      </w:r>
      <w:r w:rsidRPr="008F52F8">
        <w:rPr>
          <w:rFonts w:ascii="標楷體" w:eastAsia="標楷體" w:hAnsi="標楷體"/>
          <w:b/>
          <w:kern w:val="0"/>
          <w:sz w:val="32"/>
        </w:rPr>
        <w:t>觀察</w:t>
      </w:r>
      <w:r w:rsidRPr="008F52F8">
        <w:rPr>
          <w:rFonts w:ascii="標楷體" w:eastAsia="標楷體" w:hAnsi="標楷體" w:hint="eastAsia"/>
          <w:b/>
          <w:kern w:val="0"/>
          <w:sz w:val="32"/>
        </w:rPr>
        <w:t>紀</w:t>
      </w:r>
      <w:r w:rsidRPr="008F52F8">
        <w:rPr>
          <w:rFonts w:ascii="標楷體" w:eastAsia="標楷體" w:hAnsi="標楷體"/>
          <w:b/>
          <w:kern w:val="0"/>
          <w:sz w:val="32"/>
        </w:rPr>
        <w:t>錄</w:t>
      </w:r>
      <w:r w:rsidRPr="008F52F8">
        <w:rPr>
          <w:rFonts w:ascii="標楷體" w:eastAsia="標楷體" w:hAnsi="標楷體" w:hint="eastAsia"/>
          <w:b/>
          <w:kern w:val="0"/>
          <w:sz w:val="32"/>
        </w:rPr>
        <w:t>表</w:t>
      </w:r>
    </w:p>
    <w:p w:rsidR="005B3C86" w:rsidRPr="0029106B" w:rsidRDefault="005B3C86" w:rsidP="005B3C86">
      <w:pPr>
        <w:ind w:leftChars="2008" w:left="4819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紀錄者：               完成日期：</w:t>
      </w:r>
    </w:p>
    <w:p w:rsidR="005B3C86" w:rsidRPr="0029106B" w:rsidRDefault="005B3C86" w:rsidP="005B3C8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proofErr w:type="spellStart"/>
      <w:r w:rsidRPr="0029106B">
        <w:rPr>
          <w:rFonts w:ascii="標楷體" w:eastAsia="標楷體" w:hAnsi="標楷體" w:hint="eastAsia"/>
          <w:sz w:val="28"/>
          <w:szCs w:val="24"/>
        </w:rPr>
        <w:t>基本資料</w:t>
      </w:r>
      <w:proofErr w:type="spellEnd"/>
    </w:p>
    <w:tbl>
      <w:tblPr>
        <w:tblW w:w="10425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1897"/>
        <w:gridCol w:w="1564"/>
        <w:gridCol w:w="1696"/>
        <w:gridCol w:w="1862"/>
        <w:gridCol w:w="762"/>
        <w:gridCol w:w="866"/>
      </w:tblGrid>
      <w:tr w:rsidR="005B3C86" w:rsidRPr="006A2079" w:rsidTr="00356A76">
        <w:trPr>
          <w:cantSplit/>
          <w:trHeight w:val="17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29106B" w:rsidRDefault="005B3C86" w:rsidP="00356A76">
            <w:pPr>
              <w:pStyle w:val="a3"/>
              <w:spacing w:line="4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就讀學校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ind w:left="80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  <w:u w:val="single"/>
              </w:rPr>
              <w:t xml:space="preserve">    </w:t>
            </w:r>
            <w:r w:rsidRPr="006A2079">
              <w:rPr>
                <w:rFonts w:ascii="標楷體" w:eastAsia="標楷體" w:hint="eastAsia"/>
              </w:rPr>
              <w:t>年</w:t>
            </w:r>
            <w:r w:rsidRPr="006A2079">
              <w:rPr>
                <w:rFonts w:ascii="標楷體" w:eastAsia="標楷體" w:hint="eastAsia"/>
                <w:u w:val="single"/>
              </w:rPr>
              <w:t xml:space="preserve">    </w:t>
            </w:r>
            <w:r w:rsidRPr="006A2079">
              <w:rPr>
                <w:rFonts w:ascii="標楷體" w:eastAsia="標楷體" w:hint="eastAsia"/>
              </w:rPr>
              <w:t>班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ind w:left="12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5B3C86" w:rsidRPr="006A2079" w:rsidTr="00356A76">
        <w:trPr>
          <w:cantSplit/>
          <w:trHeight w:val="88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出生日期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年      月     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實足年齡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00" w:lineRule="exact"/>
              <w:ind w:left="892" w:firstLine="280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歲           月</w:t>
            </w:r>
          </w:p>
        </w:tc>
      </w:tr>
    </w:tbl>
    <w:p w:rsidR="005B3C86" w:rsidRPr="0029106B" w:rsidRDefault="005B3C86" w:rsidP="005B3C86">
      <w:pPr>
        <w:rPr>
          <w:rFonts w:ascii="標楷體" w:eastAsia="標楷體" w:hAnsi="標楷體"/>
          <w:kern w:val="0"/>
        </w:rPr>
      </w:pPr>
    </w:p>
    <w:p w:rsidR="005B3C86" w:rsidRPr="0029106B" w:rsidRDefault="005B3C86" w:rsidP="005B3C8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proofErr w:type="spellStart"/>
      <w:r w:rsidRPr="0029106B">
        <w:rPr>
          <w:rFonts w:ascii="標楷體" w:eastAsia="標楷體" w:hAnsi="標楷體" w:hint="eastAsia"/>
          <w:sz w:val="28"/>
          <w:szCs w:val="24"/>
        </w:rPr>
        <w:t>觀察記錄表</w:t>
      </w:r>
      <w:proofErr w:type="spellEnd"/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1559"/>
      </w:tblGrid>
      <w:tr w:rsidR="005B3C86" w:rsidRPr="006A2079" w:rsidTr="00356A76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DSM </w:t>
            </w:r>
            <w:proofErr w:type="gramStart"/>
            <w:r w:rsidRPr="006A2079">
              <w:rPr>
                <w:rFonts w:ascii="標楷體" w:eastAsia="標楷體" w:hAnsi="標楷體"/>
              </w:rPr>
              <w:t>–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V 認定標準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觀察筆記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記錄</w:t>
            </w:r>
          </w:p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日期/地點</w:t>
            </w:r>
          </w:p>
        </w:tc>
      </w:tr>
      <w:tr w:rsidR="005B3C86" w:rsidRPr="006A2079" w:rsidTr="00356A76">
        <w:trPr>
          <w:jc w:val="center"/>
        </w:trPr>
        <w:tc>
          <w:tcPr>
            <w:tcW w:w="10490" w:type="dxa"/>
            <w:gridSpan w:val="3"/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A.</w:t>
            </w:r>
            <w:r w:rsidRPr="006A2079">
              <w:rPr>
                <w:rFonts w:ascii="標楷體" w:eastAsia="標楷體" w:hAnsi="標楷體" w:hint="eastAsia"/>
              </w:rPr>
              <w:t>所有的人在社交溝通和社交互動的能力，必須有持續性的缺陷，但不包括一般發育的遲緩。</w:t>
            </w:r>
          </w:p>
        </w:tc>
      </w:tr>
      <w:tr w:rsidR="005B3C86" w:rsidRPr="006A2079" w:rsidTr="00356A76">
        <w:trPr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58" w:hangingChars="191" w:hanging="45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(1) 在社交情緒（social emotion）的互動關係上有缺陷；從異常的社交接觸、到無法繼續有交換的對話；侷限於不能分享興趣、感受，以致於影響、且不足以開始社交互動。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widowControl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widowControl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widowControl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widowControl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widowControl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widowControl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rPr>
          <w:trHeight w:val="3574"/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58" w:hangingChars="191" w:hanging="45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(2) 在社交互動的非語言溝通 (nonverbal communication) 關係上有缺陷；從拙劣的整合言語和非語言的溝通，到不正常的眼目相交和肢體語言不正常的眼目相交和肢體語言；或是沒有能力理解和使用非語言的溝通，整體缺乏面部的表情或手勢 ，整體缺乏面部的表情或手勢。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rPr>
          <w:trHeight w:val="3123"/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58" w:hangingChars="191" w:hanging="45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(3) 在發展和維持人際關係（除卻與主要照顧者的關係</w:t>
            </w:r>
            <w:r w:rsidRPr="006A2079">
              <w:rPr>
                <w:rFonts w:ascii="標楷體" w:eastAsia="標楷體" w:hAnsi="標楷體"/>
              </w:rPr>
              <w:t>）</w:t>
            </w:r>
            <w:r w:rsidRPr="006A2079">
              <w:rPr>
                <w:rFonts w:ascii="標楷體" w:eastAsia="標楷體" w:hAnsi="標楷體" w:hint="eastAsia"/>
              </w:rPr>
              <w:t>、以及心智合宜的發展上有缺陷。從面對不同的社交狀況、有困難調整自己的行為；難以加入共同想像力的活動以交到朋友，到對人或對同儕不感興趣。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widowControl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widowControl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</w:tr>
    </w:tbl>
    <w:p w:rsidR="005B3C86" w:rsidRPr="0029106B" w:rsidRDefault="005B3C86" w:rsidP="005B3C86">
      <w:pPr>
        <w:widowControl/>
        <w:ind w:left="142" w:hangingChars="59" w:hanging="142"/>
      </w:pPr>
    </w:p>
    <w:p w:rsidR="005B3C86" w:rsidRPr="0029106B" w:rsidRDefault="005B3C86" w:rsidP="005B3C86">
      <w:pPr>
        <w:widowControl/>
        <w:ind w:left="142" w:hangingChars="59" w:hanging="142"/>
      </w:pPr>
      <w:r w:rsidRPr="0029106B">
        <w:br w:type="page"/>
      </w:r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1559"/>
      </w:tblGrid>
      <w:tr w:rsidR="005B3C86" w:rsidRPr="006A2079" w:rsidTr="00356A76">
        <w:trPr>
          <w:jc w:val="center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 xml:space="preserve">DSM </w:t>
            </w:r>
            <w:proofErr w:type="gramStart"/>
            <w:r w:rsidRPr="006A2079">
              <w:rPr>
                <w:rFonts w:ascii="標楷體" w:eastAsia="標楷體" w:hAnsi="標楷體"/>
              </w:rPr>
              <w:t>–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V 認定標準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觀察筆記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記錄</w:t>
            </w:r>
          </w:p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日期/地點</w:t>
            </w:r>
          </w:p>
        </w:tc>
      </w:tr>
      <w:tr w:rsidR="005B3C86" w:rsidRPr="006A2079" w:rsidTr="00356A76">
        <w:trPr>
          <w:jc w:val="center"/>
        </w:trPr>
        <w:tc>
          <w:tcPr>
            <w:tcW w:w="10490" w:type="dxa"/>
            <w:gridSpan w:val="3"/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 xml:space="preserve">B. </w:t>
            </w:r>
            <w:r w:rsidRPr="006A2079">
              <w:rPr>
                <w:rFonts w:ascii="標楷體" w:eastAsia="標楷體" w:hAnsi="標楷體" w:hint="eastAsia"/>
              </w:rPr>
              <w:t>所有的人必須有固執的、重複模式的行為、興趣或舉動。 至少具有下列兩種以上的表現：</w:t>
            </w:r>
          </w:p>
        </w:tc>
      </w:tr>
      <w:tr w:rsidR="005B3C86" w:rsidRPr="006A2079" w:rsidTr="00356A76">
        <w:trPr>
          <w:trHeight w:val="2011"/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58" w:hangingChars="191" w:hanging="45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(1) 固定或重複的語音、肢體動作、或操弄物件；（例如，單一的固定動搖、語言回音，重複性的操弄物件、或只有少數人能懂的怪異語句）。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rPr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58" w:hangingChars="191" w:hanging="45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(2) 過度遵守常規慣例、語言或非言語的行為、有儀式化的模式、或極端的拒絕改變 ；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例如行動的表彰、堅持相同的路線或食物，重複提問相同的問題；或針對一個小小的變動，會引發劇烈的情緒反彈和焦慮)。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rPr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58" w:hangingChars="191" w:hanging="45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(3) 極端不容變化的固執興趣，且是異常的激烈或集中；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例如不尋常的依戀或專注特定的物體，並顯出極端的著迷或不容中斷的興趣；撕紙、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凝盯旋轉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的物體、不斷地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唸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數字、持續且重覆的看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同一幕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的 DVD 片段、不容中斷地做同樣的數學簿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rPr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58" w:hangingChars="191" w:hanging="45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(4) 強烈尋求、或強烈反應於感官的輸入；或在有感官刺激的環境下，表現出不尋常的興趣；（例如，針對的特定聲音、或質料、 過度敏感的嗅覺、過度觸摸某件物體、迷戀光線、或旋轉的物體、對疼痛和冷熱明顯的無動於衷）。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</w:tbl>
    <w:p w:rsidR="005B3C86" w:rsidRPr="0029106B" w:rsidRDefault="005B3C86" w:rsidP="005B3C86"/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1559"/>
      </w:tblGrid>
      <w:tr w:rsidR="005B3C86" w:rsidRPr="006A2079" w:rsidTr="00356A76">
        <w:trPr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DSM </w:t>
            </w:r>
            <w:proofErr w:type="gramStart"/>
            <w:r w:rsidRPr="006A2079">
              <w:rPr>
                <w:rFonts w:ascii="標楷體" w:eastAsia="標楷體" w:hAnsi="標楷體"/>
              </w:rPr>
              <w:t>–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V 認定標準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觀察筆記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記錄</w:t>
            </w:r>
          </w:p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日期/地點</w:t>
            </w:r>
          </w:p>
        </w:tc>
      </w:tr>
      <w:tr w:rsidR="005B3C86" w:rsidRPr="006A2079" w:rsidTr="00356A76">
        <w:trPr>
          <w:trHeight w:val="1328"/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259" w:hangingChars="108" w:hanging="259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C.</w:t>
            </w:r>
            <w:r w:rsidRPr="006A2079">
              <w:rPr>
                <w:rFonts w:ascii="標楷體" w:eastAsia="標楷體" w:hAnsi="標楷體" w:hint="eastAsia"/>
              </w:rPr>
              <w:t>症狀必須存在早期的幼年之中(但可能不會完全的顯明，直到社交能力出現缺陷)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widowControl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rPr>
          <w:trHeight w:val="1370"/>
          <w:jc w:val="center"/>
        </w:trPr>
        <w:tc>
          <w:tcPr>
            <w:tcW w:w="3686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259" w:hangingChars="108" w:hanging="259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D.</w:t>
            </w:r>
            <w:r w:rsidRPr="006A2079">
              <w:rPr>
                <w:rFonts w:ascii="標楷體" w:eastAsia="標楷體" w:hAnsi="標楷體" w:hint="eastAsia"/>
              </w:rPr>
              <w:t>所有的症狀在一起限制並損害了生活的正常功能與學習。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widowControl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</w:tbl>
    <w:p w:rsidR="005B3C86" w:rsidRPr="001B52CA" w:rsidRDefault="005B3C86" w:rsidP="005B3C86">
      <w:pPr>
        <w:widowControl/>
      </w:pPr>
      <w:r w:rsidRPr="0029106B">
        <w:br w:type="page"/>
      </w:r>
      <w:r w:rsidRPr="0029106B">
        <w:rPr>
          <w:rFonts w:ascii="標楷體" w:eastAsia="標楷體" w:hAnsi="標楷體" w:hint="eastAsia"/>
          <w:sz w:val="28"/>
        </w:rPr>
        <w:lastRenderedPageBreak/>
        <w:t>参、觀察建議方向</w:t>
      </w:r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5B3C86" w:rsidRPr="006A2079" w:rsidTr="00356A76">
        <w:trPr>
          <w:jc w:val="center"/>
        </w:trPr>
        <w:tc>
          <w:tcPr>
            <w:tcW w:w="3544" w:type="dxa"/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DSM </w:t>
            </w:r>
            <w:proofErr w:type="gramStart"/>
            <w:r w:rsidRPr="006A2079">
              <w:rPr>
                <w:rFonts w:ascii="標楷體" w:eastAsia="標楷體" w:hAnsi="標楷體"/>
              </w:rPr>
              <w:t>–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V 認定標準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觀察建議方向</w:t>
            </w:r>
          </w:p>
        </w:tc>
      </w:tr>
      <w:tr w:rsidR="005B3C86" w:rsidRPr="006A2079" w:rsidTr="00356A76">
        <w:trPr>
          <w:jc w:val="center"/>
        </w:trPr>
        <w:tc>
          <w:tcPr>
            <w:tcW w:w="10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A.</w:t>
            </w:r>
            <w:r w:rsidRPr="006A2079">
              <w:rPr>
                <w:rFonts w:ascii="標楷體" w:eastAsia="標楷體" w:hAnsi="標楷體" w:hint="eastAsia"/>
              </w:rPr>
              <w:t>所有的人在社交溝通和社交互動的能力，必須有持續性的缺陷，但不包括一般發育的遲緩。</w:t>
            </w:r>
          </w:p>
        </w:tc>
      </w:tr>
      <w:tr w:rsidR="005B3C86" w:rsidRPr="006A2079" w:rsidTr="00356A76">
        <w:trPr>
          <w:jc w:val="center"/>
        </w:trPr>
        <w:tc>
          <w:tcPr>
            <w:tcW w:w="3544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Chars="14" w:left="401" w:hangingChars="153" w:hanging="367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(1)在社交情緒（social emotion）的互動關係上有缺陷；從異常的社交接觸、到無法繼續有交換的對話；侷限於不能分享興趣、感受，以致於影響、且不足以開始社交互動。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學校上課時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◎是否能主動發問。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◎是否能詢問他人加入小組或遊戲。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◎是否能接受他人的意見。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◎是否能跟隨他人的話題適時轉移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◎是否能同理他人的情緒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◎是否能回答老師提問的問題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學校下課時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◎是否能主動找同學玩。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◎是否能瞭解遊戲規則。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◎是否能和人分享玩具或興趣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◎當別人和他談論話題時，是否能與人交談</w:t>
            </w: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其他情境(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請心評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老師自行觀察補充)</w:t>
            </w:r>
          </w:p>
        </w:tc>
      </w:tr>
      <w:tr w:rsidR="005B3C86" w:rsidRPr="006A2079" w:rsidTr="00356A76">
        <w:trPr>
          <w:jc w:val="center"/>
        </w:trPr>
        <w:tc>
          <w:tcPr>
            <w:tcW w:w="3544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01" w:hangingChars="167" w:hanging="40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(2)在社交互動的非語言溝通 (nonverbal communication) 關係上有缺陷；從拙劣的整合言語和非語言的溝通，到不正常的眼目相交和肢體語言不正常的眼目相交和肢體語言；或是沒有能力理解和使用非語言的溝通，整體缺乏面部的表情或手勢 ，整體缺乏面部的表情或手勢。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◎是否能和人有正常的眼神接觸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◎是否能看懂他人的表情、眼神、手勢或肢體語言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◎是否能在適當的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場合說請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、謝謝、對不起等語句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◎是否能用手勢、肢體或表情與他人溝通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◎是否能聽懂雙關語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◎是否會使用雙關語</w:t>
            </w: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rPr>
          <w:jc w:val="center"/>
        </w:trPr>
        <w:tc>
          <w:tcPr>
            <w:tcW w:w="3544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401" w:hangingChars="167" w:hanging="40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(3) 在發展和維持人際關係（除卻與主要照顧者的關係</w:t>
            </w:r>
            <w:r w:rsidRPr="006A2079">
              <w:rPr>
                <w:rFonts w:ascii="標楷體" w:eastAsia="標楷體" w:hAnsi="標楷體"/>
              </w:rPr>
              <w:t>）</w:t>
            </w:r>
            <w:r w:rsidRPr="006A2079">
              <w:rPr>
                <w:rFonts w:ascii="標楷體" w:eastAsia="標楷體" w:hAnsi="標楷體" w:hint="eastAsia"/>
              </w:rPr>
              <w:t>、以及心智合宜的發展上有缺陷。從面對不同的社交狀況、有困難調整自己的行為；難以加入共同想像力的活動以交到朋友，到對人或對同儕不感興趣。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◎遇到困難時，是否能主動尋求協助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◎是否能主動和同學互動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◎是否主動找人分組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◎是否能接受調整分組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◎下課時，是否能加入同學的遊戲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◎是否喜歡參與同學的遊戲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◎受挫時情緒是否會失控</w:t>
            </w:r>
          </w:p>
          <w:p w:rsidR="005B3C86" w:rsidRPr="006A2079" w:rsidRDefault="005B3C86" w:rsidP="00356A76">
            <w:pPr>
              <w:rPr>
                <w:rFonts w:ascii="標楷體" w:eastAsia="標楷體" w:hAnsi="標楷體"/>
              </w:rPr>
            </w:pPr>
          </w:p>
        </w:tc>
      </w:tr>
    </w:tbl>
    <w:p w:rsidR="005B3C86" w:rsidRPr="0029106B" w:rsidRDefault="005B3C86" w:rsidP="005B3C86"/>
    <w:p w:rsidR="005B3C86" w:rsidRPr="0029106B" w:rsidRDefault="005B3C86" w:rsidP="005B3C86"/>
    <w:p w:rsidR="005B3C86" w:rsidRDefault="005B3C86" w:rsidP="005B3C86">
      <w:pPr>
        <w:widowControl/>
        <w:rPr>
          <w:rFonts w:hint="eastAsia"/>
        </w:rPr>
      </w:pPr>
    </w:p>
    <w:p w:rsidR="005B3C86" w:rsidRPr="0029106B" w:rsidRDefault="005B3C86" w:rsidP="005B3C86">
      <w:pPr>
        <w:widowControl/>
      </w:pPr>
    </w:p>
    <w:tbl>
      <w:tblPr>
        <w:tblpPr w:leftFromText="180" w:rightFromText="180" w:vertAnchor="text" w:horzAnchor="margin" w:tblpXSpec="center" w:tblpY="10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279"/>
        <w:gridCol w:w="1559"/>
      </w:tblGrid>
      <w:tr w:rsidR="005B3C86" w:rsidRPr="006A2079" w:rsidTr="00356A76"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 xml:space="preserve">DSM </w:t>
            </w:r>
            <w:proofErr w:type="gramStart"/>
            <w:r w:rsidRPr="006A2079">
              <w:rPr>
                <w:rFonts w:ascii="標楷體" w:eastAsia="標楷體" w:hAnsi="標楷體"/>
              </w:rPr>
              <w:t>–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V 認定標準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觀察筆記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記錄</w:t>
            </w:r>
          </w:p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日期/地點</w:t>
            </w:r>
          </w:p>
        </w:tc>
      </w:tr>
      <w:tr w:rsidR="005B3C86" w:rsidRPr="006A2079" w:rsidTr="00356A76">
        <w:tc>
          <w:tcPr>
            <w:tcW w:w="10490" w:type="dxa"/>
            <w:gridSpan w:val="3"/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 xml:space="preserve">B. </w:t>
            </w:r>
            <w:r w:rsidRPr="006A2079">
              <w:rPr>
                <w:rFonts w:ascii="標楷體" w:eastAsia="標楷體" w:hAnsi="標楷體" w:hint="eastAsia"/>
              </w:rPr>
              <w:t>所有的人必須有固執的、重複模式的行為、興趣或舉動。 至少具有下列兩種以上的表現：</w:t>
            </w:r>
          </w:p>
        </w:tc>
      </w:tr>
      <w:tr w:rsidR="005B3C86" w:rsidRPr="006A2079" w:rsidTr="00356A76">
        <w:tc>
          <w:tcPr>
            <w:tcW w:w="3652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Chars="1" w:left="424" w:hangingChars="176" w:hanging="42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(1) 固定或重複的語音、肢體動作、或操弄物件；（例如，單一的固定動搖、語言回音，重複性的操弄物件、或只有少數人能懂的怪異語句）。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◎是否有固定的動作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◎是否有怪異的動作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◎是否有會不斷重複的動作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◎是否出現單調的發音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◎是否會仿說他人說的話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◎是否有過度標準的發音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◎是否有延宕式語言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c>
          <w:tcPr>
            <w:tcW w:w="3652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Chars="1" w:left="424" w:hangingChars="176" w:hanging="42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(2) 過度遵守常規慣例、語言或非言語的行為、有儀式化的模式、或極端的拒絕改變 ；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例如行動的表彰、堅持相同的路線或食物，重複提問相同的問題；或針對一個小小的變動，會引發劇烈的情緒反彈和焦慮)。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◎是否會只走固定路線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◎是否有嚴重偏食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◎是否會重複提問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◎是否只說自己有興趣的事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◎是否難以接受改變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◎是否會針對一個小小的變動，而引發劇烈的情緒反彈和焦慮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c>
          <w:tcPr>
            <w:tcW w:w="3652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Chars="1" w:left="424" w:hangingChars="176" w:hanging="42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(3) 極端不容變化的固執興趣，且是異常的激烈或集中；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例如不尋常的依戀或專注特定的物體，並顯出極端的著迷或不容中斷的興趣；撕紙、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凝盯旋轉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的物體、不斷地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唸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數字、持續且重覆的看某一類型的 DVD 片段、不容中斷地做同樣的數學簿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◎不尋常的依戀或專注特定的物體，並顯出極端的著迷或不容中斷的興趣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◎是否會重複動作或說話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◎是否會只圍繞單一話題無法轉換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◎是否有哪些行為是固執的興趣(激烈或集中)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c>
          <w:tcPr>
            <w:tcW w:w="3652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Chars="1" w:left="424" w:hangingChars="176" w:hanging="42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(4) 強烈尋求、或強烈反應於感官的輸入；或在有感官刺激的環境下，表現出不尋常的興趣；（例如，針對的特定聲音、或質料、 過度敏感的嗅覺、過度觸摸某件物體、迷戀光線、或旋轉的物體、對疼痛和冷熱明顯的無動於衷）。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◎是否會過度尋求感官刺激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聲音、光線、材質、味道、旋轉物</w:t>
            </w:r>
          </w:p>
          <w:p w:rsidR="005B3C86" w:rsidRPr="006A2079" w:rsidRDefault="005B3C86" w:rsidP="00356A76">
            <w:pPr>
              <w:spacing w:line="0" w:lineRule="atLeast"/>
              <w:ind w:left="142" w:hangingChars="59" w:hanging="142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◎對疼痛或冷熱反應遲鈍</w:t>
            </w: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</w:tbl>
    <w:p w:rsidR="005B3C86" w:rsidRPr="0029106B" w:rsidRDefault="005B3C86" w:rsidP="005B3C86"/>
    <w:tbl>
      <w:tblPr>
        <w:tblpPr w:leftFromText="180" w:rightFromText="180" w:vertAnchor="text" w:horzAnchor="margin" w:tblpXSpec="center" w:tblpY="10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279"/>
        <w:gridCol w:w="1559"/>
      </w:tblGrid>
      <w:tr w:rsidR="005B3C86" w:rsidRPr="006A2079" w:rsidTr="00356A76">
        <w:tc>
          <w:tcPr>
            <w:tcW w:w="3652" w:type="dxa"/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DSM </w:t>
            </w:r>
            <w:proofErr w:type="gramStart"/>
            <w:r w:rsidRPr="006A2079">
              <w:rPr>
                <w:rFonts w:ascii="標楷體" w:eastAsia="標楷體" w:hAnsi="標楷體"/>
              </w:rPr>
              <w:t>–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 V 認定標準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觀察筆記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記錄</w:t>
            </w:r>
          </w:p>
          <w:p w:rsidR="005B3C86" w:rsidRPr="006A2079" w:rsidRDefault="005B3C8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日期/地點</w:t>
            </w:r>
          </w:p>
        </w:tc>
      </w:tr>
      <w:tr w:rsidR="005B3C86" w:rsidRPr="006A2079" w:rsidTr="00356A76">
        <w:tc>
          <w:tcPr>
            <w:tcW w:w="3652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Chars="1" w:left="425" w:hangingChars="176" w:hanging="423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 xml:space="preserve">C. </w:t>
            </w:r>
            <w:r w:rsidRPr="006A2079">
              <w:rPr>
                <w:rFonts w:ascii="標楷體" w:eastAsia="標楷體" w:hAnsi="標楷體" w:hint="eastAsia"/>
              </w:rPr>
              <w:t>症狀必須存在早期的幼年之中(但可能不會完全的顯明，直到社交能力出現缺陷)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◎孩子幾歲時發現有些症狀和其他孩子不太一樣，狀況是什麼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widowControl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  <w:tr w:rsidR="005B3C86" w:rsidRPr="006A2079" w:rsidTr="00356A76">
        <w:tc>
          <w:tcPr>
            <w:tcW w:w="3652" w:type="dxa"/>
            <w:shd w:val="clear" w:color="auto" w:fill="auto"/>
          </w:tcPr>
          <w:p w:rsidR="005B3C86" w:rsidRPr="006A2079" w:rsidRDefault="005B3C86" w:rsidP="00356A76">
            <w:pPr>
              <w:spacing w:line="0" w:lineRule="atLeast"/>
              <w:ind w:leftChars="1" w:left="283" w:hangingChars="117" w:hanging="28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/>
              </w:rPr>
              <w:t>D.</w:t>
            </w:r>
            <w:r w:rsidRPr="006A2079">
              <w:rPr>
                <w:rFonts w:ascii="標楷體" w:eastAsia="標楷體" w:hAnsi="標楷體" w:hint="eastAsia"/>
              </w:rPr>
              <w:t>所有的症狀在一起限制並損害了生活的正常功能與學習。</w:t>
            </w:r>
          </w:p>
        </w:tc>
        <w:tc>
          <w:tcPr>
            <w:tcW w:w="5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C86" w:rsidRPr="006A2079" w:rsidRDefault="005B3C86" w:rsidP="00356A76">
            <w:pPr>
              <w:spacing w:line="0" w:lineRule="atLeast"/>
              <w:ind w:left="142" w:hangingChars="59" w:hanging="142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◎對學校學習及生活有何影響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B3C86" w:rsidRPr="006A2079" w:rsidRDefault="005B3C86" w:rsidP="00356A76">
            <w:pPr>
              <w:widowControl/>
              <w:ind w:left="142" w:hangingChars="59" w:hanging="142"/>
              <w:rPr>
                <w:rFonts w:ascii="標楷體" w:eastAsia="標楷體" w:hAnsi="標楷體"/>
              </w:rPr>
            </w:pPr>
          </w:p>
          <w:p w:rsidR="005B3C86" w:rsidRPr="006A2079" w:rsidRDefault="005B3C86" w:rsidP="00356A76">
            <w:pPr>
              <w:ind w:left="142" w:hangingChars="59" w:hanging="142"/>
              <w:rPr>
                <w:rFonts w:ascii="標楷體" w:eastAsia="標楷體" w:hAnsi="標楷體"/>
              </w:rPr>
            </w:pPr>
          </w:p>
        </w:tc>
      </w:tr>
    </w:tbl>
    <w:p w:rsidR="005B3C86" w:rsidRPr="0029106B" w:rsidRDefault="005B3C86" w:rsidP="005B3C86"/>
    <w:p w:rsidR="00F3743E" w:rsidRDefault="00F3743E" w:rsidP="005B3C86">
      <w:bookmarkStart w:id="0" w:name="_GoBack"/>
      <w:bookmarkEnd w:id="0"/>
    </w:p>
    <w:sectPr w:rsidR="00F3743E" w:rsidSect="005B3C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5AF7"/>
    <w:multiLevelType w:val="hybridMultilevel"/>
    <w:tmpl w:val="AE6041C6"/>
    <w:lvl w:ilvl="0" w:tplc="2408CC74">
      <w:start w:val="3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A8E86D72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86"/>
    <w:rsid w:val="005B3C86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B3C86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5B3C86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5B3C86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6">
    <w:name w:val="清單段落 字元"/>
    <w:link w:val="a5"/>
    <w:uiPriority w:val="34"/>
    <w:rsid w:val="005B3C86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B3C86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5B3C86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5B3C86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6">
    <w:name w:val="清單段落 字元"/>
    <w:link w:val="a5"/>
    <w:uiPriority w:val="34"/>
    <w:rsid w:val="005B3C86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2016-02-18T06:15:00Z</dcterms:created>
  <dcterms:modified xsi:type="dcterms:W3CDTF">2016-02-18T06:16:00Z</dcterms:modified>
</cp:coreProperties>
</file>